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91</w:t>
      </w:r>
    </w:p>
    <w:p>
      <w:r>
        <w:t>Bundesgericht (BGE), 1990-08-14, FR</w:t>
      </w:r>
    </w:p>
    <w:p>
      <w:r>
        <w:rPr>
          <w:b/>
        </w:rPr>
        <w:t xml:space="preserve">Quelle: </w:t>
      </w:r>
      <w:r>
        <w:t>https://mcp.opencaselaw.ch/entscheid/bge_116 III 91</w:t>
      </w:r>
    </w:p>
    <w:p>
      <w:r>
        <w:t>FR: ATF 116 III 91</w:t>
      </w:r>
    </w:p>
    <w:p>
      <w:r>
        <w:t>IT: DTF 116 III 91</w:t>
      </w:r>
    </w:p>
    <w:p>
      <w:pPr>
        <w:pStyle w:val="Heading2"/>
      </w:pPr>
      <w:r>
        <w:t>Regeste</w:t>
      </w:r>
    </w:p>
    <w:p>
      <w:r>
        <w:t>Regeste Aufteilung des Verwertungserlöses unter die Gläubiger einer Pfändungsgruppe, wenn der zu teilende Betrag mit einer von einem Gläubiger eingereichten Strafklage eingetrieben wurde. 1. Die Verteilung des mit einer Strafklage eingetriebenen Betrages unter die Gläubiger ist eine der Beschwerde nach Art. 17 SchKG unterliegende Verfügung (E. 1). 2. Der Betrag, den einer von mehreren Gläubigern mit einer Strafklage eintreiben konnte, dient nicht in erster Linie der Befriedigung dieses Gläubigers und zur Deckung seiner Kosten: Das Betreibungsamt, das diesen Betrag unter allen Gläubigern der gleichen Gruppe aufteilt und zwar nach Klassen, handelt gesetzeskonform (E. 2).</w:t>
      </w:r>
    </w:p>
    <w:p>
      <w:pPr>
        <w:pStyle w:val="Heading2"/>
      </w:pPr>
      <w:r>
        <w:t>Erwägungen</w:t>
      </w:r>
    </w:p>
    <w:p>
      <w:r>
        <w:rPr>
          <w:b/>
        </w:rPr>
        <w:t>E. 1</w:t>
      </w:r>
    </w:p>
    <w:p>
      <w:r>
        <w:t>C'est à tort que l'autorité cantonale de surveillance a estimé qu'il n'y a pas en l'espèce une mesure de l'office au sens de l' art. 17 LP . Comme elle le dit elle-même, par mesure il faut entendre tout acte d'autorité accompli par l'office en exécution d'une mission officielle dans une affaire concrète; il s'agit d'un acte matériel qui a pour objet la continuation ou l'achèvement de la procédure d'exécution forcée et qui produit des effets externes ( ATF 85 III 92 consid. 2; cf. ATF 82 III 134 /135 consid. 1, ATF 94 III 88 consid. 2; JAEGER, n. 3 ad art. 17 LP , trad. fr., I p. 37; AMONN, Grundriss des Schuldbetreibungs- und Konkursrechts, 4e éd., par. 6 n. 6 p. 52; GILLIÉRON, Poursuite pour dettes, faillite et concordat, 2e éd., p. 55). Or, ce qui est en cause ici, c'est la distribution entre les créanciers des sommes recouvrées, et non pas simplement une déclaration d'ordre général, une communication de l'office sur ses BGE 116 III 91 S. 94 intentions ou un avis. On est donc en présence d'un acte de nature à provoquer une plainte.</w:t>
      </w:r>
    </w:p>
    <w:p>
      <w:r>
        <w:rPr>
          <w:b/>
        </w:rPr>
        <w:t>E. 2</w:t>
      </w:r>
    </w:p>
    <w:p>
      <w:r>
        <w:t>a) La recourante soutient que l'Office des poursuites a pris une mesure inopportune et violé son pouvoir d'appréciation. Elle tient, en substance, le raisonnement suivant: La question à résoudre en l'espèce est celle de savoir comment répartir entre les différents créanciers d'une même série les sommes recouvrées par suite de l'intervention de l'un d'eux, lorsque, considérant que la poursuite était infructueuse, l'office avait délivré un acte de défaut de biens et qu'à l'exception d'un seul les créanciers s'étaient implicitement déclarés satisfaits de la décision de l'office, puisqu'ils n'envisageaient pas d'entreprendre des démarches. Ce cas n'est pas expressément réglé par la loi: il doit être assimilé à une saisie complémentaire, qui ne profite qu'au créancier qui l'a requise. On arrive d'ailleurs au même résultat en appliquant par analogie les art. 131 et 260 LP . Si le débiteur n'avait pas été cité à comparaître devant le Tribunal de police ensuite de la plainte de la Banque X., il ne se serait jamais acquitté du solde de la retenue des gains. Il serait donc choquant que des créanciers saisissants, même privilégiés, voient leur inaction récompensée au détriment d'autres créanciers, de rang postérieur mais animés d'une plus grande détermination. L'application par analogie des dispositions légales précitées amène à la conclusion que la somme obtenue doit servir en premier lieu à couvrir les créances et les frais du créancier le plus diligent. b) Cette argumentation ne saurait être accueillie. aa) En vertu de la jurisprudence, si, lors de la saisie, il n'existe pas de biens suffisants, d'après l'estimation de l'office, pour satisfaire le créancier poursuivant, ce dernier peut, s'il découvre que le débiteur possède d'autres biens, en se fondant sur l'acte de défaut de biens provisoire, requérir directement l'office de saisir ces biens ( ATF 88 III 61 consid. 1 et les arrêts cités). Mais en l'espèce la recourante n'a précisément pas adressé de réquisition à l'office. Elle a choisi une voie qui ne relève pas de la procédure d'exécution forcée: elle a cherché à se satisfaire en déposant une plainte pénale contre le débiteur. Il n'est donc pas possible d'assimiler ce cas à une saisie complémentaire. bb) Il n'y a aucune raison non plus d'appliquer par analogie les art. 131 et 260 LP . La situation est tout autre. Selon l' art. 131 BGE 116 III 91 S. 95 al. 2 LP , les saisissants ou l'un d'eux peuvent se charger de faire valoir contre le tiers débiteur, à leurs risques et périls et sans préjudice à leurs droits, une créance ou une prétention du saisi; la somme qu'ils pourront obtenir servira, dans ce cas, à couvrir en premier lieu leurs propres créances et les frais. Mais il faut le consentement de tous les créanciers qui participent à la saisie de la créance, soit de tous les créanciers de la série: la réalisation se fait "dans les mêmes conditions" que celle, prévue à l' art. 131 al. 1 LP , des créances non cotées à la bourse, soit "si tous les créanciers saisissants le demandent" (cf. JAEGER, n. 2 et 8 ad art. 131 LP , trad. fr., I, p. 478 et 480). Il s'agit ainsi d'un mandat de recouvrement accordé, avec le consentement de tous les créanciers saisissants, à un créancier ou à un groupe de créanciers, institution analogue à la cession des droits de la masse de l' art. 260 LP dans la procédure de faillite (cf. GILLIÉRON, op.cit., p. 225). Or, en l'espèce, la recourante a agi d'elle-même, sans mandat aucun des autres créanciers de la série. cc) Si l'on cherche une analogie, elle existe plutôt avec le cas, prévu à l' art. 269 al. 1 LP , où, la faillite clôturée, on découvre des biens qui ont échappé à la liquidation. En effet, afin de se soustraire à la plainte pénale déposée contre lui par la recourante, le débiteur a versé 12'000 francs, non pas directement à celle-ci (comme elle l'aurait voulu), mais, avec raison, à l'Office des poursuites. Dans une telle éventualité, l'Office des faillites procède à une distribution entre les créanciers, suivant leur rang. C'est conforme au principe de l'égalité des créanciers, qui, de manière générale, régit la procédure d'exécution forcée. Les exceptions à ce principe sont prévues par la loi: il ne faut pas les étendre à d'autres cas, comme celui-ci, pour des raisons d'équité. dd) Au surplus, si l'on accédait à la requête de la recourante, non seulement on ne respecterait pas le droit des autres créanciers de la même série, en particulier ceux des créanciers privilégiés, mais on ouvrirait la porte à des procédés de recouvrement en dehors de la voie tracée par la loi fédérale sur la poursuite pour dettes et la faillite, qui pourraient avoir des effets inadmissibles dans le cadre de l'exécution forcée: ainsi, on peut imaginer le cas de créanciers connaissant l'existence de biens du débiteur et la taisant, pour pouvoir, après la clôture de la procédure, exercer des pressions au détriment des autres créanciers de la même série; la preuve de la violation des règles de la bonne foi serait, le plus souvent, très difficile à rapporter. BGE 116 III 91 S. 96</w:t>
      </w:r>
    </w:p>
    <w:p>
      <w:r>
        <w:rPr>
          <w:b/>
        </w:rPr>
        <w:t>E. 3</w:t>
      </w:r>
    </w:p>
    <w:p>
      <w:r>
        <w:t>Vu ce qui précède, la plainte ne pouvait qu'être rejetée si l'autorité cantonale de surveillance était entrée en matière. Le recours apparaît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